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82.png" ContentType="image/png"/>
  <Override PartName="/word/media/rId178.png" ContentType="image/png"/>
  <Override PartName="/word/media/rId174.png" ContentType="image/png"/>
  <Override PartName="/word/media/rId186.png" ContentType="image/png"/>
  <Override PartName="/word/media/rId198.png" ContentType="image/png"/>
  <Override PartName="/word/media/rId194.png" ContentType="image/png"/>
  <Override PartName="/word/media/rId190.png" ContentType="image/png"/>
  <Override PartName="/word/media/rId118.png" ContentType="image/png"/>
  <Override PartName="/word/media/rId122.png" ContentType="image/png"/>
  <Override PartName="/word/media/rId114.png" ContentType="image/png"/>
  <Override PartName="/word/media/rId126.png" ContentType="image/png"/>
  <Override PartName="/word/media/rId138.png" ContentType="image/png"/>
  <Override PartName="/word/media/rId134.png" ContentType="image/png"/>
  <Override PartName="/word/media/rId130.png" ContentType="image/png"/>
  <Override PartName="/word/media/rId90.png" ContentType="image/png"/>
  <Override PartName="/word/media/rId94.png" ContentType="image/png"/>
  <Override PartName="/word/media/rId82.png" ContentType="image/png"/>
  <Override PartName="/word/media/rId86.png" ContentType="image/png"/>
  <Override PartName="/word/media/rId98.png" ContentType="image/png"/>
  <Override PartName="/word/media/rId110.png" ContentType="image/png"/>
  <Override PartName="/word/media/rId106.png" ContentType="image/png"/>
  <Override PartName="/word/media/rId102.png" ContentType="image/png"/>
  <Override PartName="/word/media/rId142.png" ContentType="image/png"/>
  <Override PartName="/word/media/rId146.png" ContentType="image/png"/>
  <Override PartName="/word/media/rId150.png" ContentType="image/png"/>
  <Override PartName="/word/media/rId162.png" ContentType="image/png"/>
  <Override PartName="/word/media/rId158.png" ContentType="image/png"/>
  <Override PartName="/word/media/rId154.png" ContentType="image/png"/>
  <Override PartName="/word/media/rId210.png" ContentType="image/png"/>
  <Override PartName="/word/media/rId206.png" ContentType="image/png"/>
  <Override PartName="/word/media/rId202.png" ContentType="image/png"/>
  <Override PartName="/word/media/rId218.png" ContentType="image/png"/>
  <Override PartName="/word/media/rId214.png" ContentType="image/png"/>
  <Override PartName="/word/media/rId46.png" ContentType="image/png"/>
  <Override PartName="/word/media/rId55.png" ContentType="image/png"/>
  <Override PartName="/word/media/rId61.png" ContentType="image/png"/>
  <Override PartName="/word/media/rId40.png" ContentType="image/png"/>
  <Override PartName="/word/media/rId34.png" ContentType="image/png"/>
  <Override PartName="/word/media/rId2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2025-04-07</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6" w:name="background"/>
    <w:p>
      <w:pPr>
        <w:pStyle w:val="Heading2"/>
      </w:pPr>
      <w:r>
        <w:t xml:space="preserve">1 Background</w:t>
      </w:r>
    </w:p>
    <w:p>
      <w:pPr>
        <w:pStyle w:val="FirstParagraph"/>
      </w:pPr>
      <w:r>
        <w:t xml:space="preserve">A critical component of the Arizona Tri-University Recharge (ATUR) project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w:t>
      </w:r>
      <w:hyperlink w:anchor="fig-suitComp">
        <w:r>
          <w:rPr>
            <w:rStyle w:val="Hyperlink"/>
          </w:rPr>
          <w:t xml:space="preserve">Figure 1</w:t>
        </w:r>
      </w:hyperlink>
      <w:r>
        <w:t xml:space="preserve">).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tbl>
      <w:tblPr>
        <w:tblStyle w:val="Table"/>
        <w:tblW w:type="pct" w:w="5000"/>
        <w:tblLayout w:type="fixed"/>
        <w:tblLook w:firstRow="0" w:lastRow="0" w:firstColumn="0" w:lastColumn="0" w:noHBand="0" w:noVBand="0" w:val="0000"/>
      </w:tblPr>
      <w:tblGrid>
        <w:gridCol w:w="7920"/>
      </w:tblGrid>
      <w:tr>
        <w:tc>
          <w:tcPr/>
          <w:bookmarkStart w:id="25" w:name="fig-suitComp"/>
          <w:p>
            <w:pPr>
              <w:pStyle w:val="Compact"/>
              <w:jc w:val="center"/>
            </w:pPr>
            <w:r>
              <w:drawing>
                <wp:inline>
                  <wp:extent cx="5334000" cy="4625319"/>
                  <wp:effectExtent b="0" l="0" r="0" t="0"/>
                  <wp:docPr descr="" title="" id="21" name="Picture"/>
                  <a:graphic>
                    <a:graphicData uri="http://schemas.openxmlformats.org/drawingml/2006/picture">
                      <pic:pic>
                        <pic:nvPicPr>
                          <pic:cNvPr descr="images/SanPedro_V1vsV2.png" id="22" name="Picture"/>
                          <pic:cNvPicPr>
                            <a:picLocks noChangeArrowheads="1" noChangeAspect="1"/>
                          </pic:cNvPicPr>
                        </pic:nvPicPr>
                        <pic:blipFill>
                          <a:blip r:embed="rId20"/>
                          <a:stretch>
                            <a:fillRect/>
                          </a:stretch>
                        </pic:blipFill>
                        <pic:spPr bwMode="auto">
                          <a:xfrm>
                            <a:off x="0" y="0"/>
                            <a:ext cx="5334000" cy="4625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Side-by-side comparison of two versions of a flooding susceptibility analysis for the San Pedro watershed showing subtle differences as the result of updated layers and weighting schemas. Map A uses 9 input layers, while map B uses 8, removing one data layer, and exchanging another. For full details of method differences see</w:t>
            </w:r>
            <w:r>
              <w:t xml:space="preserve"> </w:t>
            </w:r>
            <w:hyperlink r:id="rId23">
              <w:r>
                <w:rPr>
                  <w:rStyle w:val="Hyperlink"/>
                </w:rPr>
                <w:t xml:space="preserve">San Pedro Flood-MAR</w:t>
              </w:r>
            </w:hyperlink>
            <w:r>
              <w:t xml:space="preserve">, as well as</w:t>
            </w:r>
            <w:r>
              <w:t xml:space="preserve"> </w:t>
            </w:r>
            <w:hyperlink r:id="rId24">
              <w:r>
                <w:rPr>
                  <w:rStyle w:val="Hyperlink"/>
                </w:rPr>
                <w:t xml:space="preserve">Flood-MAR V2</w:t>
              </w:r>
            </w:hyperlink>
            <w:r>
              <w:t xml:space="preserve"> </w:t>
            </w:r>
            <w:r>
              <w:t xml:space="preserve">(login required).</w:t>
            </w:r>
          </w:p>
          <w:bookmarkEnd w:id="25"/>
        </w:tc>
      </w:tr>
    </w:tbl>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easily accessible, and have full coverage over the study area. These findings lead to a renewed initiative to apply a machine learning based method towards the objective of a state wide flood map.</w:t>
      </w:r>
    </w:p>
    <w:bookmarkEnd w:id="26"/>
    <w:bookmarkStart w:id="68" w:name="sec-data-methods"/>
    <w:p>
      <w:pPr>
        <w:pStyle w:val="Heading2"/>
      </w:pPr>
      <w:r>
        <w:t xml:space="preserve">2 Data &amp; Methods</w:t>
      </w:r>
    </w:p>
    <w:bookmarkStart w:id="32"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tool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7"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7"/>
    </w:p>
    <w:p>
      <w:pPr>
        <w:pStyle w:val="FirstParagraph"/>
      </w:pPr>
      <w:bookmarkStart w:id="28" w:name="eq-twi"/>
      <m:oMathPara>
        <m:oMathParaPr>
          <m:jc m:val="center"/>
        </m:oMathParaPr>
        <m:oMath>
          <m:r>
            <m:t>T</m:t>
          </m:r>
          <m:r>
            <m:t>W</m:t>
          </m:r>
          <m:r>
            <m:t>I</m:t>
          </m:r>
          <m:r>
            <m:rPr>
              <m:sty m:val="p"/>
            </m:rPr>
            <m:t>=</m:t>
          </m:r>
          <m:r>
            <m:t>l</m:t>
          </m:r>
          <m:r>
            <m:t>n</m:t>
          </m:r>
          <m:d>
            <m:dPr>
              <m:begChr m:val="("/>
              <m:sepChr m:val=""/>
              <m:endChr m:val=")"/>
              <m:grow/>
            </m:dPr>
            <m:e>
              <m:f>
                <m:fPr>
                  <m:type m:val="bar"/>
                </m:fPr>
                <m:num>
                  <m:sSub>
                    <m:e>
                      <m:r>
                        <m:t>A</m:t>
                      </m:r>
                    </m:e>
                    <m:sub>
                      <m:r>
                        <m:t>s</m:t>
                      </m:r>
                    </m:sub>
                  </m:sSub>
                </m:num>
                <m:den>
                  <m:r>
                    <m:t>t</m:t>
                  </m:r>
                  <m:r>
                    <m:t>a</m:t>
                  </m:r>
                  <m:r>
                    <m:t>n</m:t>
                  </m:r>
                  <m:d>
                    <m:dPr>
                      <m:begChr m:val="("/>
                      <m:sepChr m:val=""/>
                      <m:endChr m:val=")"/>
                      <m:grow/>
                    </m:dPr>
                    <m:e>
                      <m:r>
                        <m:t>ß</m:t>
                      </m:r>
                    </m:e>
                  </m:d>
                </m:den>
              </m:f>
            </m:e>
          </m:d>
          <m:r>
            <m:t>  </m:t>
          </m:r>
          <m:d>
            <m:dPr>
              <m:begChr m:val="("/>
              <m:sepChr m:val=""/>
              <m:endChr m:val=")"/>
              <m:grow/>
            </m:dPr>
            <m:e>
              <m:r>
                <m:t>2</m:t>
              </m:r>
            </m:e>
          </m:d>
        </m:oMath>
      </m:oMathPara>
      <w:bookmarkEnd w:id="28"/>
    </w:p>
    <w:p>
      <w:pPr>
        <w:pStyle w:val="FirstParagraph"/>
      </w:pPr>
      <w:bookmarkStart w:id="29" w:name="eq-sti"/>
      <m:oMathPara>
        <m:oMathParaPr>
          <m:jc m:val="center"/>
        </m:oMathParaPr>
        <m:oMath>
          <m:r>
            <m:t>S</m:t>
          </m:r>
          <m:r>
            <m:t>T</m:t>
          </m:r>
          <m:r>
            <m:t>I</m:t>
          </m:r>
          <m:r>
            <m:rPr>
              <m:sty m:val="p"/>
            </m:rPr>
            <m:t>=</m:t>
          </m:r>
          <m:sSup>
            <m:e>
              <m:d>
                <m:dPr>
                  <m:begChr m:val="("/>
                  <m:sepChr m:val=""/>
                  <m:endChr m:val=")"/>
                  <m:grow/>
                </m:dPr>
                <m:e>
                  <m:f>
                    <m:fPr>
                      <m:type m:val="bar"/>
                    </m:fPr>
                    <m:num>
                      <m:sSub>
                        <m:e>
                          <m:r>
                            <m:t>A</m:t>
                          </m:r>
                        </m:e>
                        <m:sub>
                          <m:r>
                            <m:t>s</m:t>
                          </m:r>
                        </m:sub>
                      </m:sSub>
                    </m:num>
                    <m:den>
                      <m:r>
                        <m:t>22.13</m:t>
                      </m:r>
                    </m:den>
                  </m:f>
                </m:e>
              </m:d>
            </m:e>
            <m:sup>
              <m:r>
                <m:t>0.6</m:t>
              </m:r>
            </m:sup>
          </m:sSup>
          <m:r>
            <m:rPr>
              <m:sty m:val="p"/>
            </m:rPr>
            <m:t>×</m:t>
          </m:r>
          <m:sSup>
            <m:e>
              <m:d>
                <m:dPr>
                  <m:begChr m:val="("/>
                  <m:sepChr m:val=""/>
                  <m:endChr m:val=")"/>
                  <m:grow/>
                </m:dPr>
                <m:e>
                  <m:f>
                    <m:fPr>
                      <m:type m:val="bar"/>
                    </m:fPr>
                    <m:num>
                      <m:r>
                        <m:t>s</m:t>
                      </m:r>
                      <m:r>
                        <m:t>i</m:t>
                      </m:r>
                      <m:r>
                        <m:t>n</m:t>
                      </m:r>
                      <m:d>
                        <m:dPr>
                          <m:begChr m:val="("/>
                          <m:sepChr m:val=""/>
                          <m:endChr m:val=")"/>
                          <m:grow/>
                        </m:dPr>
                        <m:e>
                          <m:r>
                            <m:t>ß</m:t>
                          </m:r>
                        </m:e>
                      </m:d>
                    </m:num>
                    <m:den>
                      <m:r>
                        <m:t>0.0896</m:t>
                      </m:r>
                    </m:den>
                  </m:f>
                </m:e>
              </m:d>
            </m:e>
            <m:sup>
              <m:r>
                <m:t>1.3</m:t>
              </m:r>
            </m:sup>
          </m:sSup>
          <m:r>
            <m:t>  </m:t>
          </m:r>
          <m:d>
            <m:dPr>
              <m:begChr m:val="("/>
              <m:sepChr m:val=""/>
              <m:endChr m:val=")"/>
              <m:grow/>
            </m:dPr>
            <m:e>
              <m:r>
                <m:t>3</m:t>
              </m:r>
            </m:e>
          </m:d>
        </m:oMath>
      </m:oMathPara>
      <w:bookmarkEnd w:id="29"/>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30"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30"/>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31">
        <w:r>
          <w:rPr>
            <w:rStyle w:val="Hyperlink"/>
          </w:rPr>
          <w:t xml:space="preserve">GitHub</w:t>
        </w:r>
      </w:hyperlink>
      <w:r>
        <w:t xml:space="preserve">.</w:t>
      </w:r>
    </w:p>
    <w:bookmarkEnd w:id="32"/>
    <w:bookmarkStart w:id="3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33">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 (</w:t>
      </w:r>
      <w:hyperlink w:anchor="fig-fema">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fema"/>
          <w:p>
            <w:pPr>
              <w:pStyle w:val="Compact"/>
              <w:jc w:val="center"/>
            </w:pPr>
            <w:r>
              <w:drawing>
                <wp:inline>
                  <wp:extent cx="5334000" cy="6397020"/>
                  <wp:effectExtent b="0" l="0" r="0" t="0"/>
                  <wp:docPr descr="" title="" id="35" name="Picture"/>
                  <a:graphic>
                    <a:graphicData uri="http://schemas.openxmlformats.org/drawingml/2006/picture">
                      <pic:pic>
                        <pic:nvPicPr>
                          <pic:cNvPr descr="images/FEMA2.png" id="36" name="Picture"/>
                          <pic:cNvPicPr>
                            <a:picLocks noChangeArrowheads="1" noChangeAspect="1"/>
                          </pic:cNvPicPr>
                        </pic:nvPicPr>
                        <pic:blipFill>
                          <a:blip r:embed="rId34"/>
                          <a:stretch>
                            <a:fillRect/>
                          </a:stretch>
                        </pic:blipFill>
                        <pic:spPr bwMode="auto">
                          <a:xfrm>
                            <a:off x="0" y="0"/>
                            <a:ext cx="5334000" cy="6397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Simplified FEMA 100-year flood map for all counties in Arizona.</w:t>
            </w:r>
          </w:p>
          <w:bookmarkEnd w:id="37"/>
        </w:tc>
      </w:tr>
    </w:tbl>
    <w:bookmarkEnd w:id="38"/>
    <w:bookmarkStart w:id="3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39"/>
    <w:bookmarkStart w:id="4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regressions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5,000 points (the maximum number of points which can be plotted in GEE) were randomly sampled across the study area for collinearity analysis. The collinearity of each pair-wise regression is summarized visually in</w:t>
      </w:r>
      <w:r>
        <w:t xml:space="preserve"> </w:t>
      </w:r>
      <w:hyperlink w:anchor="fig-Rsquared">
        <w:r>
          <w:rPr>
            <w:rStyle w:val="Hyperlink"/>
          </w:rPr>
          <w:t xml:space="preserve">Figure 3</w:t>
        </w:r>
      </w:hyperlink>
      <w:r>
        <w:t xml:space="preserve"> </w:t>
      </w:r>
      <w:r>
        <w:t xml:space="preserve">using the R-squared statistic of each comparison. While some relationships, e.g. slope and TWI (Figure</w:t>
      </w:r>
      <w:r>
        <w:t xml:space="preserve"> </w:t>
      </w:r>
      <w:hyperlink w:anchor="appfig-slopeTwi">
        <w:r>
          <w:rPr>
            <w:rStyle w:val="Hyperlink"/>
          </w:rPr>
          <w:t xml:space="preserve">A19</w:t>
        </w:r>
      </w:hyperlink>
      <w:r>
        <w:t xml:space="preserve">),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43" w:name="fig-Rsquared"/>
          <w:p>
            <w:pPr>
              <w:pStyle w:val="Compact"/>
              <w:jc w:val="center"/>
            </w:pPr>
            <w:r>
              <w:drawing>
                <wp:inline>
                  <wp:extent cx="5334000" cy="1527667"/>
                  <wp:effectExtent b="0" l="0" r="0" t="0"/>
                  <wp:docPr descr="" title="" id="41" name="Picture"/>
                  <a:graphic>
                    <a:graphicData uri="http://schemas.openxmlformats.org/drawingml/2006/picture">
                      <pic:pic>
                        <pic:nvPicPr>
                          <pic:cNvPr descr="images/CorrelationMatrix.PNG" id="42" name="Picture"/>
                          <pic:cNvPicPr>
                            <a:picLocks noChangeArrowheads="1" noChangeAspect="1"/>
                          </pic:cNvPicPr>
                        </pic:nvPicPr>
                        <pic:blipFill>
                          <a:blip r:embed="rId40"/>
                          <a:stretch>
                            <a:fillRect/>
                          </a:stretch>
                        </pic:blipFill>
                        <pic:spPr bwMode="auto">
                          <a:xfrm>
                            <a:off x="0" y="0"/>
                            <a:ext cx="5334000" cy="1527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Color coded R-squared statistic for each pair-wise linear regression (green = high, red = low), representing the collinearity of each variable used for modeling.</w:t>
            </w:r>
          </w:p>
          <w:bookmarkEnd w:id="43"/>
        </w:tc>
      </w:tr>
    </w:tbl>
    <w:bookmarkEnd w:id="44"/>
    <w:bookmarkStart w:id="6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5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4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4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4</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4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47" name="Picture"/>
                  <a:graphic>
                    <a:graphicData uri="http://schemas.openxmlformats.org/drawingml/2006/picture">
                      <pic:pic>
                        <pic:nvPicPr>
                          <pic:cNvPr descr="images/Confusion1.png" id="48" name="Picture"/>
                          <pic:cNvPicPr>
                            <a:picLocks noChangeArrowheads="1" noChangeAspect="1"/>
                          </pic:cNvPicPr>
                        </pic:nvPicPr>
                        <pic:blipFill>
                          <a:blip r:embed="rId46"/>
                          <a:stretch>
                            <a:fillRect/>
                          </a:stretch>
                        </pic:blipFill>
                        <pic:spPr bwMode="auto">
                          <a:xfrm>
                            <a:off x="0" y="0"/>
                            <a:ext cx="3931919" cy="1188720"/>
                          </a:xfrm>
                          <a:prstGeom prst="rect">
                            <a:avLst/>
                          </a:prstGeom>
                          <a:noFill/>
                          <a:ln w="9525">
                            <a:noFill/>
                            <a:headEnd/>
                            <a:tailEnd/>
                          </a:ln>
                        </pic:spPr>
                      </pic:pic>
                    </a:graphicData>
                  </a:graphic>
                </wp:inline>
              </w:drawing>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odelCompare"/>
          <w:p>
            <w:pPr>
              <w:pStyle w:val="Compact"/>
              <w:jc w:val="center"/>
            </w:pPr>
            <w:r>
              <w:drawing>
                <wp:inline>
                  <wp:extent cx="5334000" cy="6326152"/>
                  <wp:effectExtent b="0" l="0" r="0" t="0"/>
                  <wp:docPr descr="" title="" id="51" name="Picture"/>
                  <a:graphic>
                    <a:graphicData uri="http://schemas.openxmlformats.org/drawingml/2006/picture">
                      <pic:pic>
                        <pic:nvPicPr>
                          <pic:cNvPr descr="images/SanPedro_modelCompare.png" id="52" name="Picture"/>
                          <pic:cNvPicPr>
                            <a:picLocks noChangeArrowheads="1" noChangeAspect="1"/>
                          </pic:cNvPicPr>
                        </pic:nvPicPr>
                        <pic:blipFill>
                          <a:blip r:embed="rId5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Side-by-side comparison of FEMA 100-year flood maps (A), raw random forest classification (B), post-processed random forest classification (C), and classification errors of the post-processed classification (D) for the lower San Pedro watershed.</w:t>
            </w:r>
          </w:p>
          <w:bookmarkEnd w:id="53"/>
        </w:tc>
      </w:tr>
    </w:tbl>
    <w:bookmarkEnd w:id="54"/>
    <w:bookmarkStart w:id="5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4</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4</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56" name="Picture"/>
                  <a:graphic>
                    <a:graphicData uri="http://schemas.openxmlformats.org/drawingml/2006/picture">
                      <pic:pic>
                        <pic:nvPicPr>
                          <pic:cNvPr descr="images/Confusion2.png" id="57" name="Picture"/>
                          <pic:cNvPicPr>
                            <a:picLocks noChangeArrowheads="1" noChangeAspect="1"/>
                          </pic:cNvPicPr>
                        </pic:nvPicPr>
                        <pic:blipFill>
                          <a:blip r:embed="rId55"/>
                          <a:stretch>
                            <a:fillRect/>
                          </a:stretch>
                        </pic:blipFill>
                        <pic:spPr bwMode="auto">
                          <a:xfrm>
                            <a:off x="0" y="0"/>
                            <a:ext cx="3931919" cy="1188720"/>
                          </a:xfrm>
                          <a:prstGeom prst="rect">
                            <a:avLst/>
                          </a:prstGeom>
                          <a:noFill/>
                          <a:ln w="9525">
                            <a:noFill/>
                            <a:headEnd/>
                            <a:tailEnd/>
                          </a:ln>
                        </pic:spPr>
                      </pic:pic>
                    </a:graphicData>
                  </a:graphic>
                </wp:inline>
              </w:drawing>
            </w:r>
          </w:p>
          <w:bookmarkEnd w:id="58"/>
        </w:tc>
      </w:tr>
    </w:tbl>
    <w:bookmarkEnd w:id="59"/>
    <w:bookmarkEnd w:id="60"/>
    <w:bookmarkStart w:id="6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full ATUR model output measured 88.2% (</w:t>
      </w:r>
      <w:hyperlink w:anchor="tbl-confusion3">
        <w:r>
          <w:rPr>
            <w:rStyle w:val="Hyperlink"/>
          </w:rPr>
          <w:t xml:space="preserve">Table 4</w:t>
        </w:r>
      </w:hyperlink>
      <w:r>
        <w:t xml:space="preserve">). While this overall accuracy was lower than the San Pedro model, and fell somewhat short of the hoped for 90%, it is still testing quite well. The model is particularly good at correctly identifying dry areas, with a producer’s accuracy of 98.2%, while it is unfortunately under-classifying flooded areas (1071 of 1491 flooded test points classified as dry). While this remains an area for improvement, it is as sufficiently well trained model to justify use in further analysis.</w:t>
      </w:r>
    </w:p>
    <w:tbl>
      <w:tblPr>
        <w:tblStyle w:val="Table"/>
        <w:tblW w:type="pct" w:w="5000"/>
        <w:tblLayout w:type="fixed"/>
        <w:tblLook w:firstRow="0" w:lastRow="0" w:firstColumn="0" w:lastColumn="0" w:noHBand="0" w:noVBand="0" w:val="0000"/>
      </w:tblPr>
      <w:tblGrid>
        <w:gridCol w:w="7920"/>
      </w:tblGrid>
      <w:tr>
        <w:tc>
          <w:tcPr/>
          <w:bookmarkStart w:id="6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62" name="Picture"/>
                  <a:graphic>
                    <a:graphicData uri="http://schemas.openxmlformats.org/drawingml/2006/picture">
                      <pic:pic>
                        <pic:nvPicPr>
                          <pic:cNvPr descr="images/Confusion3.png" id="63" name="Picture"/>
                          <pic:cNvPicPr>
                            <a:picLocks noChangeArrowheads="1" noChangeAspect="1"/>
                          </pic:cNvPicPr>
                        </pic:nvPicPr>
                        <pic:blipFill>
                          <a:blip r:embed="rId61"/>
                          <a:stretch>
                            <a:fillRect/>
                          </a:stretch>
                        </pic:blipFill>
                        <pic:spPr bwMode="auto">
                          <a:xfrm>
                            <a:off x="0" y="0"/>
                            <a:ext cx="3931919" cy="1188720"/>
                          </a:xfrm>
                          <a:prstGeom prst="rect">
                            <a:avLst/>
                          </a:prstGeom>
                          <a:noFill/>
                          <a:ln w="9525">
                            <a:noFill/>
                            <a:headEnd/>
                            <a:tailEnd/>
                          </a:ln>
                        </pic:spPr>
                      </pic:pic>
                    </a:graphicData>
                  </a:graphic>
                </wp:inline>
              </w:drawing>
            </w:r>
          </w:p>
          <w:bookmarkEnd w:id="64"/>
        </w:tc>
      </w:tr>
    </w:tbl>
    <w:bookmarkEnd w:id="65"/>
    <w:bookmarkStart w:id="6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66">
        <w:r>
          <w:rPr>
            <w:rStyle w:val="Hyperlink"/>
          </w:rPr>
          <w:t xml:space="preserve">ArcGIS online (AGOL) group</w:t>
        </w:r>
      </w:hyperlink>
      <w:r>
        <w:t xml:space="preserve">.</w:t>
      </w:r>
    </w:p>
    <w:bookmarkEnd w:id="67"/>
    <w:bookmarkEnd w:id="68"/>
    <w:bookmarkStart w:id="7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69">
        <w:r>
          <w:rPr>
            <w:rStyle w:val="Hyperlink"/>
          </w:rPr>
          <w:t xml:space="preserve">GEE</w:t>
        </w:r>
      </w:hyperlink>
      <w:r>
        <w:t xml:space="preserve">.</w:t>
      </w:r>
    </w:p>
    <w:bookmarkEnd w:id="70"/>
    <w:bookmarkStart w:id="80" w:name="references"/>
    <w:p>
      <w:pPr>
        <w:pStyle w:val="Heading2"/>
      </w:pPr>
      <w:r>
        <w:t xml:space="preserve">References</w:t>
      </w:r>
    </w:p>
    <w:bookmarkStart w:id="79" w:name="refs"/>
    <w:bookmarkStart w:id="7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71">
        <w:r>
          <w:rPr>
            <w:rStyle w:val="Hyperlink"/>
          </w:rPr>
          <w:t xml:space="preserve">https://doi.org/10.1016/j.gsd.2024.101137</w:t>
        </w:r>
      </w:hyperlink>
    </w:p>
    <w:bookmarkEnd w:id="72"/>
    <w:bookmarkStart w:id="7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73">
        <w:r>
          <w:rPr>
            <w:rStyle w:val="Hyperlink"/>
          </w:rPr>
          <w:t xml:space="preserve">https://doi.org/10.1016/j.jhydrol.2021.126846</w:t>
        </w:r>
      </w:hyperlink>
    </w:p>
    <w:bookmarkEnd w:id="74"/>
    <w:bookmarkStart w:id="7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75">
        <w:r>
          <w:rPr>
            <w:rStyle w:val="Hyperlink"/>
          </w:rPr>
          <w:t xml:space="preserve">https://docs.google.com/document/d/1UCB900oCdJERca-2WUeDlCu52MjPKJxETJ_jJcLM0bM/edit?tab=t.0</w:t>
        </w:r>
      </w:hyperlink>
    </w:p>
    <w:bookmarkEnd w:id="76"/>
    <w:bookmarkStart w:id="7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77">
        <w:r>
          <w:rPr>
            <w:rStyle w:val="Hyperlink"/>
          </w:rPr>
          <w:t xml:space="preserve">https://doi.org/10.1016/j.catena.2018.12.011</w:t>
        </w:r>
      </w:hyperlink>
    </w:p>
    <w:bookmarkEnd w:id="78"/>
    <w:bookmarkEnd w:id="79"/>
    <w:bookmarkEnd w:id="80"/>
    <w:bookmarkStart w:id="22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8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85" w:name="appfig-floodElev"/>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elev.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lope"/>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lope.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Aspect"/>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aspect.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Curve"/>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curve.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p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p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appfig-floodTwi"/>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flood-twi.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floodTri"/>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flood-tri.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floodSti"/>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flood-sti.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1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17" w:name="appfig-elevSlope"/>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lope.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Aspect"/>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aspect.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Curve"/>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curve.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p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p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appfig-elevTwi"/>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elev-twi.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elevTri"/>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elev-tri.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elevSt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elev-st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4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45" w:name="appfig-slopeAspect"/>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aspect.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Curve"/>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curve.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p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p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appfig-slopeTwi"/>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slope-twi.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slopeTr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slope-tr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slopeSt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slope-st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6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69" w:name="appfig-aspectCurve"/>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curve.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p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p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7" w:name="appfig-aspectTw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aspect-tw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aspectTr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aspect-tr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aspectSt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aspect-st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8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89" w:name="appfig-curveSp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p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3" w:name="appfig-curve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curve-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curve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curve-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curve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curve-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20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205" w:name="appfig-spiTw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spi-tw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spiTr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spi-tr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appfig-spiSti"/>
          <w:p>
            <w:pPr>
              <w:pStyle w:val="Compact"/>
              <w:jc w:val="center"/>
            </w:pPr>
            <w:r>
              <w:drawing>
                <wp:inline>
                  <wp:extent cx="5334000" cy="2442858"/>
                  <wp:effectExtent b="0" l="0" r="0" t="0"/>
                  <wp:docPr descr="" title="" id="211" name="Picture"/>
                  <a:graphic>
                    <a:graphicData uri="http://schemas.openxmlformats.org/drawingml/2006/picture">
                      <pic:pic>
                        <pic:nvPicPr>
                          <pic:cNvPr descr="images/Collinearity/spi-sti.png" id="212" name="Picture"/>
                          <pic:cNvPicPr>
                            <a:picLocks noChangeArrowheads="1" noChangeAspect="1"/>
                          </pic:cNvPicPr>
                        </pic:nvPicPr>
                        <pic:blipFill>
                          <a:blip r:embed="rId2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1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17" w:name="appfig-twiTri"/>
          <w:p>
            <w:pPr>
              <w:pStyle w:val="Compact"/>
              <w:jc w:val="center"/>
            </w:pPr>
            <w:r>
              <w:drawing>
                <wp:inline>
                  <wp:extent cx="5334000" cy="2442858"/>
                  <wp:effectExtent b="0" l="0" r="0" t="0"/>
                  <wp:docPr descr="" title="" id="215" name="Picture"/>
                  <a:graphic>
                    <a:graphicData uri="http://schemas.openxmlformats.org/drawingml/2006/picture">
                      <pic:pic>
                        <pic:nvPicPr>
                          <pic:cNvPr descr="images/Collinearity/twi-tri.png" id="216" name="Picture"/>
                          <pic:cNvPicPr>
                            <a:picLocks noChangeArrowheads="1" noChangeAspect="1"/>
                          </pic:cNvPicPr>
                        </pic:nvPicPr>
                        <pic:blipFill>
                          <a:blip r:embed="rId2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appfig-twiSti"/>
          <w:p>
            <w:pPr>
              <w:pStyle w:val="Compact"/>
              <w:jc w:val="center"/>
            </w:pPr>
            <w:r>
              <w:drawing>
                <wp:inline>
                  <wp:extent cx="5334000" cy="2442858"/>
                  <wp:effectExtent b="0" l="0" r="0" t="0"/>
                  <wp:docPr descr="" title="" id="219" name="Picture"/>
                  <a:graphic>
                    <a:graphicData uri="http://schemas.openxmlformats.org/drawingml/2006/picture">
                      <pic:pic>
                        <pic:nvPicPr>
                          <pic:cNvPr descr="images/Collinearity/tri-sti.png" id="220"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2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24" w:name="appfig-triSti"/>
          <w:p>
            <w:pPr>
              <w:pStyle w:val="Compact"/>
              <w:jc w:val="center"/>
            </w:pPr>
            <w:r>
              <w:drawing>
                <wp:inline>
                  <wp:extent cx="5334000" cy="2442858"/>
                  <wp:effectExtent b="0" l="0" r="0" t="0"/>
                  <wp:docPr descr="" title="" id="222" name="Picture"/>
                  <a:graphic>
                    <a:graphicData uri="http://schemas.openxmlformats.org/drawingml/2006/picture">
                      <pic:pic>
                        <pic:nvPicPr>
                          <pic:cNvPr descr="images/Collinearity/tri-sti.png" id="223"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24"/>
        </w:tc>
      </w:tr>
    </w:tbl>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2025-04-07T22:08:08Z</dcterms:created>
  <dcterms:modified xsi:type="dcterms:W3CDTF">2025-04-07T22:08:08Z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